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endnotes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64"/>
        <w:ind w:lef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1</w:t>
      </w:r>
    </w:p>
    <w:p>
      <w:pPr>
        <w:pStyle w:val="Normal"/>
        <w:spacing w:lineRule="auto" w:line="26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6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64"/>
        <w:ind w:hanging="1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>
      <w:pPr>
        <w:pStyle w:val="Normal"/>
        <w:spacing w:lineRule="auto" w:line="2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(articoli 47, 75 e 76 del D.P.R. n. 445 del 28 dicembre 2000)</w:t>
      </w:r>
    </w:p>
    <w:p>
      <w:pPr>
        <w:pStyle w:val="Normal"/>
        <w:spacing w:lineRule="auto" w:line="2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64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Asseverazione di cui al comma 13 dell’art. 119 del D.L. n. 34/2020, resa ai sensi dell’articolo 2, comma 7, lettera a) del Decreto “Asseverazioni”</w:t>
      </w:r>
    </w:p>
    <w:p>
      <w:pPr>
        <w:pStyle w:val="Normal"/>
        <w:spacing w:lineRule="auto" w:line="264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(Stato finale)</w:t>
      </w:r>
      <w:r>
        <w:rPr>
          <w:rStyle w:val="Ancladenotafinal"/>
          <w:rFonts w:ascii="Times New Roman" w:hAnsi="Times New Roman"/>
          <w:b/>
          <w:bCs/>
          <w:sz w:val="28"/>
          <w:szCs w:val="28"/>
        </w:rPr>
        <w:endnoteReference w:id="2"/>
      </w:r>
    </w:p>
    <w:p>
      <w:pPr>
        <w:pStyle w:val="Normal"/>
        <w:spacing w:lineRule="auto" w:line="26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bookmarkStart w:id="0" w:name="_Hlk44162000"/>
      <w:bookmarkEnd w:id="0"/>
      <w:r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all’ordine/collegio professionale:______________________________________________di ____________________________ con il numero:____________________________ in relazione agli interventi di cui all’art. 119 commi 1 e 2 del D.L. n. 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</w:p>
    <w:p>
      <w:pPr>
        <w:pStyle w:val="Normal"/>
        <w:spacing w:lineRule="auto" w:line="26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64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DICHIARA CHE</w:t>
      </w:r>
    </w:p>
    <w:p>
      <w:pPr>
        <w:pStyle w:val="Normal"/>
        <w:spacing w:lineRule="auto" w:line="264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ListParagraph"/>
        <w:spacing w:lineRule="auto" w:line="264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 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>
      <w:pPr>
        <w:pStyle w:val="ListParagraph"/>
        <w:spacing w:lineRule="auto" w:line="264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spacing w:lineRule="auto" w:line="264"/>
        <w:ind w:left="378" w:hanging="392"/>
        <w:jc w:val="both"/>
        <w:rPr>
          <w:rFonts w:ascii="Times New Roman" w:hAnsi="Times New Roman"/>
          <w:sz w:val="22"/>
          <w:szCs w:val="22"/>
        </w:rPr>
      </w:pPr>
      <w:r>
        <w:rPr>
          <w:rFonts w:cs="Cambria Math" w:ascii="Cambria Math" w:hAnsi="Cambria Math"/>
          <w:sz w:val="22"/>
          <w:szCs w:val="22"/>
        </w:rPr>
        <w:t>▢</w:t>
      </w:r>
      <w:r>
        <w:rPr>
          <w:rFonts w:eastAsia="MS Gothic" w:ascii="Times New Roman" w:hAnsi="Times New Roman"/>
          <w:sz w:val="22"/>
          <w:szCs w:val="22"/>
        </w:rPr>
        <w:t>a)</w:t>
      </w:r>
      <w:r>
        <w:rPr>
          <w:rFonts w:ascii="Times New Roman" w:hAnsi="Times New Roman"/>
          <w:bCs/>
          <w:sz w:val="22"/>
          <w:szCs w:val="22"/>
        </w:rPr>
        <w:t>è stata</w:t>
      </w:r>
      <w:r>
        <w:rPr>
          <w:rFonts w:ascii="Times New Roman" w:hAnsi="Times New Roman"/>
          <w:sz w:val="22"/>
          <w:szCs w:val="22"/>
        </w:rPr>
        <w:t xml:space="preserve"> depositata nell’ufficio competente del Comune di ________________ (prov. ___), in data:_____, protocollo: ___________,la </w:t>
      </w:r>
      <w:r>
        <w:rPr>
          <w:rFonts w:ascii="Times New Roman" w:hAnsi="Times New Roman"/>
          <w:bCs/>
          <w:sz w:val="22"/>
          <w:szCs w:val="22"/>
        </w:rPr>
        <w:t>relazione tecnica</w:t>
      </w:r>
      <w:r>
        <w:rPr>
          <w:rFonts w:ascii="Times New Roman" w:hAnsi="Times New Roman"/>
          <w:sz w:val="22"/>
          <w:szCs w:val="22"/>
        </w:rPr>
        <w:t xml:space="preserve"> prevista dall’art. 28 della legge 10/1991 e dall’art. 8 comma 1 del D.lgs 192/2005 e successive modificazioni secondo i modelli riportati nel decreto 26 giugno 2015“</w:t>
      </w:r>
      <w:r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dell’applicazione delle prescrizioni e dei requisiti minimi di prestazione energetica negli edifici</w:t>
      </w:r>
      <w:r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>
        <w:rPr>
          <w:rFonts w:ascii="Times New Roman" w:hAnsi="Times New Roman"/>
          <w:bCs/>
          <w:sz w:val="22"/>
          <w:szCs w:val="22"/>
        </w:rPr>
        <w:t>comprensiva di tutti gli allegati</w:t>
      </w:r>
      <w:r>
        <w:rPr>
          <w:rFonts w:ascii="Times New Roman" w:hAnsi="Times New Roman"/>
          <w:sz w:val="22"/>
          <w:szCs w:val="22"/>
        </w:rPr>
        <w:t>;</w:t>
      </w:r>
    </w:p>
    <w:p>
      <w:pPr>
        <w:pStyle w:val="ListParagraph"/>
        <w:spacing w:lineRule="auto" w:line="264"/>
        <w:ind w:lef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9"/>
        </w:numPr>
        <w:spacing w:lineRule="auto" w:line="26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gli stessi lavori sono iniziati in data ______.</w:t>
      </w:r>
    </w:p>
    <w:p>
      <w:pPr>
        <w:pStyle w:val="ListParagraph"/>
        <w:spacing w:lineRule="auto" w:line="26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lavori sono eseguiti su:</w:t>
      </w:r>
    </w:p>
    <w:p>
      <w:pPr>
        <w:pStyle w:val="Normal"/>
        <w:spacing w:lineRule="atLeast" w:line="22"/>
        <w:ind w:left="574" w:hanging="1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○ </w:t>
      </w:r>
      <w:r>
        <w:rPr>
          <w:rFonts w:ascii="Times New Roman" w:hAnsi="Times New Roman"/>
          <w:bCs/>
          <w:sz w:val="22"/>
          <w:szCs w:val="22"/>
        </w:rPr>
        <w:t>edificio</w:t>
      </w:r>
      <w:r>
        <w:rPr>
          <w:rFonts w:ascii="Times New Roman" w:hAnsi="Times New Roman"/>
          <w:sz w:val="22"/>
          <w:szCs w:val="22"/>
        </w:rPr>
        <w:t>condominiale composto da n. _____ unità immobiliari e</w:t>
      </w:r>
      <w:r>
        <w:rPr>
          <w:rFonts w:ascii="Times New Roman" w:hAnsi="Times New Roman"/>
          <w:b/>
          <w:bCs/>
          <w:sz w:val="22"/>
          <w:szCs w:val="22"/>
        </w:rPr>
        <w:t xml:space="preserve">○ </w:t>
      </w:r>
      <w:r>
        <w:rPr>
          <w:rFonts w:ascii="Times New Roman" w:hAnsi="Times New Roman"/>
          <w:sz w:val="22"/>
          <w:szCs w:val="22"/>
        </w:rPr>
        <w:t>dotato di impianto termico centralizzato</w:t>
      </w:r>
    </w:p>
    <w:p>
      <w:pPr>
        <w:pStyle w:val="Normal"/>
        <w:spacing w:lineRule="atLeast" w:line="22"/>
        <w:ind w:left="574" w:hanging="1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○ </w:t>
      </w:r>
      <w:r>
        <w:rPr>
          <w:rFonts w:ascii="Times New Roman" w:hAnsi="Times New Roman"/>
          <w:sz w:val="22"/>
          <w:szCs w:val="22"/>
        </w:rPr>
        <w:t>unità immobiliare unifamiliare</w:t>
      </w:r>
    </w:p>
    <w:p>
      <w:pPr>
        <w:pStyle w:val="Normal"/>
        <w:spacing w:lineRule="atLeast" w:line="22"/>
        <w:ind w:left="574" w:hanging="1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unità immobiliari situate all’interno di edifici plurifamiliari che siano funzionalmente indipendenti e dispongano di uno o più accessi autonomi dall’esterno</w:t>
      </w:r>
    </w:p>
    <w:p>
      <w:pPr>
        <w:pStyle w:val="Normal"/>
        <w:spacing w:lineRule="atLeast" w:line="22"/>
        <w:ind w:left="574" w:hanging="196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○ </w:t>
      </w:r>
      <w:r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dell’art. 119 del D.L. 19 maggio 2020, n. 34, convertito, con modificazioni, dalla legge 17 luglio 2020, n. 77 sono vietati da regolamenti edilizi, urbanistici e ambientali.</w:t>
      </w:r>
    </w:p>
    <w:p>
      <w:pPr>
        <w:pStyle w:val="Normal"/>
        <w:spacing w:lineRule="atLeast" w:line="22"/>
        <w:ind w:left="654" w:hanging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>
      <w:pPr>
        <w:pStyle w:val="ListParagraph"/>
        <w:spacing w:lineRule="atLeast" w:line="2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>
      <w:pPr>
        <w:pStyle w:val="ListParagraph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>
      <w:pPr>
        <w:pStyle w:val="ListParagraph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spacing w:lineRule="atLeast" w:line="22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tLeast" w:line="22"/>
        <w:rPr/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>
        <w:rPr>
          <w:rStyle w:val="Ancladenotafinal"/>
          <w:rFonts w:ascii="Times New Roman" w:hAnsi="Times New Roman"/>
          <w:b/>
          <w:bCs/>
          <w:sz w:val="28"/>
          <w:szCs w:val="28"/>
          <w:u w:val="single"/>
        </w:rPr>
        <w:endnoteReference w:id="3"/>
      </w:r>
    </w:p>
    <w:p>
      <w:pPr>
        <w:pStyle w:val="ListParagraph"/>
        <w:spacing w:lineRule="atLeast" w:line="22"/>
        <w:ind w:left="360" w:hanging="0"/>
        <w:rPr/>
      </w:pPr>
      <w:r>
        <w:rPr/>
      </w:r>
    </w:p>
    <w:tbl>
      <w:tblPr>
        <w:tblW w:w="10312" w:type="dxa"/>
        <w:jc w:val="left"/>
        <w:tblInd w:w="-8" w:type="dxa"/>
        <w:tblBorders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532"/>
        <w:gridCol w:w="9779"/>
      </w:tblGrid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421" w:hanging="0"/>
              <w:jc w:val="right"/>
              <w:rPr/>
            </w:pPr>
            <w:r>
              <w:rPr>
                <w:rFonts w:eastAsia="MS Gothic" w:cs="MS Gothic" w:ascii="MS Gothic" w:hAnsi="MS Gothic"/>
                <w:sz w:val="22"/>
                <w:szCs w:val="22"/>
              </w:rPr>
              <w:t>☐</w:t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intervento di isolamento termico delle superfici opache verticali,orizzontali e inclinate che interessano l’involucro dell’edificio con un’incidenza superiore al 25 per cento della superficie lorda complessiva disperdente dell’edificio medesimo </w:t>
            </w:r>
          </w:p>
          <w:p>
            <w:pPr>
              <w:pStyle w:val="ListParagraph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le superfici oggetto dell’intervento sono: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che compongono l’edificio per 50.000/40.000/30.000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4"/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6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il costo complessivo previsto dei lavori e realizzato sulle parti opache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>
            <w:pPr>
              <w:pStyle w:val="ListParagraph"/>
              <w:spacing w:lineRule="atLeast" w:line="22"/>
              <w:ind w:left="10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742" w:hanging="425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>
            <w:pPr>
              <w:pStyle w:val="Normal"/>
              <w:spacing w:lineRule="atLeast" w:line="22"/>
              <w:ind w:left="140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1400" w:hanging="0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>
            <w:pPr>
              <w:pStyle w:val="Normal"/>
              <w:spacing w:lineRule="atLeast" w:line="22"/>
              <w:ind w:left="140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>
            <w:pPr>
              <w:pStyle w:val="Normal"/>
              <w:spacing w:lineRule="atLeast" w:line="22"/>
              <w:ind w:left="142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5"/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inverter;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>
            <w:pPr>
              <w:pStyle w:val="Normal"/>
              <w:spacing w:lineRule="atLeast" w:line="22"/>
              <w:ind w:left="142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42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41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: ____; GUE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>
            <w:pPr>
              <w:pStyle w:val="Normal"/>
              <w:spacing w:lineRule="atLeast" w:line="22"/>
              <w:ind w:left="141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○</w:t>
            </w:r>
          </w:p>
          <w:p>
            <w:pPr>
              <w:pStyle w:val="Normal"/>
              <w:spacing w:lineRule="atLeast" w:line="22"/>
              <w:ind w:left="141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41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>
            <w:pPr>
              <w:pStyle w:val="Normal"/>
              <w:spacing w:lineRule="atLeast" w:line="22"/>
              <w:ind w:left="141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41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53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>
            <w:pPr>
              <w:pStyle w:val="Normal"/>
              <w:spacing w:lineRule="atLeast" w:line="22"/>
              <w:ind w:left="141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>
            <w:pPr>
              <w:pStyle w:val="Normal"/>
              <w:spacing w:lineRule="atLeast" w:line="22"/>
              <w:ind w:left="1416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>inverter;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 xml:space="preserve">○ </w:t>
            </w:r>
            <w:r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>
            <w:pPr>
              <w:pStyle w:val="Normal"/>
              <w:spacing w:lineRule="atLeast" w:line="22"/>
              <w:ind w:left="142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42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e)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>
            <w:pPr>
              <w:pStyle w:val="Normal"/>
              <w:spacing w:lineRule="atLeast" w:line="22"/>
              <w:ind w:left="1442" w:hanging="28"/>
              <w:jc w:val="both"/>
              <w:rPr>
                <w:rFonts w:ascii="Times New Roman" w:hAnsi="Times New Roman" w:eastAsia="MS Gothic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○</w:t>
            </w:r>
            <w:r>
              <w:rPr>
                <w:rFonts w:ascii="Times New Roman" w:hAnsi="Times New Roman"/>
                <w:sz w:val="22"/>
                <w:szCs w:val="22"/>
              </w:rPr>
              <w:t>Risc. supp.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P</w:t>
            </w:r>
            <w:r>
              <w:rPr>
                <w:rFonts w:eastAsia="MS Gothic" w:ascii="Times New Roman" w:hAnsi="Times New Roman"/>
                <w:sz w:val="22"/>
                <w:szCs w:val="22"/>
                <w:vertAlign w:val="subscript"/>
              </w:rPr>
              <w:t>risc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.</w:t>
            </w:r>
            <w:r>
              <w:rPr>
                <w:rFonts w:eastAsia="MS Gothic" w:ascii="Times New Roman" w:hAnsi="Times New Roman"/>
                <w:sz w:val="22"/>
                <w:szCs w:val="22"/>
                <w:vertAlign w:val="subscript"/>
              </w:rPr>
              <w:t>supp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.: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[kW]</w:t>
            </w:r>
          </w:p>
          <w:p>
            <w:pPr>
              <w:pStyle w:val="Normal"/>
              <w:spacing w:lineRule="atLeast" w:line="22"/>
              <w:ind w:left="1442" w:hanging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f)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>
            <w:pPr>
              <w:pStyle w:val="ListParagraph"/>
              <w:spacing w:lineRule="atLeast" w:line="22"/>
              <w:ind w:left="142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  <w:p>
            <w:pPr>
              <w:pStyle w:val="ListParagraph"/>
              <w:spacing w:lineRule="atLeast" w:line="22"/>
              <w:ind w:left="142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collettori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6"/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7"/>
            </w:r>
            <w:r>
              <w:rPr>
                <w:rFonts w:ascii="Times New Roman" w:hAnsi="Times New Roman"/>
                <w:sz w:val="22"/>
                <w:szCs w:val="22"/>
              </w:rPr>
              <w:t>___________; Inclinazione % : ____;orientamento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8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accumulo in litri: ______; </w:t>
            </w:r>
          </w:p>
          <w:p>
            <w:pPr>
              <w:pStyle w:val="ListParagraph"/>
              <w:spacing w:lineRule="atLeast" w:line="22"/>
              <w:ind w:left="1423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destinazione del calore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9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tipo di impianto integrato o sostituito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0"/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certificazione solar Keymark;</w:t>
            </w:r>
          </w:p>
          <w:p>
            <w:pPr>
              <w:pStyle w:val="ListParagraph"/>
              <w:spacing w:lineRule="atLeast" w:line="22"/>
              <w:ind w:left="1423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442" w:hanging="54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g)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dell’Italia agli obblighi previsti dalla direttiva 2008/50/CE, l’allaccio a sistemi di teleriscaldamento efficiente ai sensi dell’articolo 2, comma 2, lettera tt), del decreto legislativo 4 luglio 2014, n. 102).</w:t>
            </w:r>
          </w:p>
          <w:p>
            <w:pPr>
              <w:pStyle w:val="Normal"/>
              <w:spacing w:lineRule="atLeast" w:line="22"/>
              <w:ind w:left="1414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>
            <w:pPr>
              <w:pStyle w:val="Normal"/>
              <w:spacing w:lineRule="atLeast" w:line="22"/>
              <w:ind w:left="1414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f</w:t>
            </w:r>
            <w:r>
              <w:rPr>
                <w:rFonts w:eastAsia="MS Gothic" w:ascii="Times New Roman" w:hAnsi="Times New Roman"/>
                <w:sz w:val="22"/>
                <w:szCs w:val="22"/>
                <w:vertAlign w:val="subscript"/>
              </w:rPr>
              <w:t>p,nren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:_________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1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Tipologia di rete di teleriscaldamento efficiente:____________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2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.</w:t>
            </w:r>
          </w:p>
          <w:p>
            <w:pPr>
              <w:pStyle w:val="Normal"/>
              <w:spacing w:lineRule="atLeast" w:line="22"/>
              <w:ind w:left="141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442" w:hanging="504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h)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in unità immobiliari situate all’interno di edifici plurifamiliari che siano funzionalmente indipendenti e dispongano di uno o più accessi autonomi dall’esterno,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dell’Italia agli obblighi previsti dalla direttiva 2008/50/CE, con caldaie a biomassa aventi prestazioni emissive con valori previsti almeno per la classe 5 stelle individuata ai sensi del regolamento di cui al decreto del Ministro dell’ambiente e della tutela del territorio e del mare 7 novembre 2017, n. 186).</w:t>
            </w:r>
          </w:p>
          <w:p>
            <w:pPr>
              <w:pStyle w:val="Normal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>
            <w:pPr>
              <w:pStyle w:val="Normal"/>
              <w:spacing w:lineRule="atLeast" w:line="22"/>
              <w:ind w:left="1442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destinati a: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climatizzazione invernale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climatizzazione estiva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3"/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;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prod. di acqua calda sanitaria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14"/>
            </w:r>
          </w:p>
          <w:p>
            <w:pPr>
              <w:pStyle w:val="Normal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l’ammontare massimo dei lavori del presente punto su cui calcolare la detrazione fiscale è pari al prodotto delle unità immobiliari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che compongono l’edificio per 30.000/20.000/15.000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5"/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dei lavori realizzati sull’impianto corrisponde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euro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 w:eastAsia="MS Gothic"/>
                <w:b/>
                <w:b/>
                <w:bCs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Eseguiti su: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350" w:hanging="308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E.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a)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l’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>
            <w:pPr>
              <w:pStyle w:val="Normal"/>
              <w:spacing w:lineRule="atLeast" w:line="22"/>
              <w:ind w:left="924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6"/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>
            <w:pPr>
              <w:pStyle w:val="Normal"/>
              <w:spacing w:lineRule="atLeast" w:line="22"/>
              <w:ind w:left="924" w:hanging="336"/>
              <w:jc w:val="both"/>
              <w:rPr>
                <w:rFonts w:ascii="Times New Roman" w:hAnsi="Times New Roman" w:eastAsia="MS Gothic"/>
                <w:i/>
                <w:i/>
                <w:iCs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dotato di impianto di termico centralizzato</w:t>
            </w:r>
            <w:r>
              <w:rPr>
                <w:rFonts w:eastAsia="MS Gothic" w:ascii="Times New Roman" w:hAnsi="Times New Roman"/>
                <w:i/>
                <w:iCs/>
                <w:sz w:val="22"/>
                <w:szCs w:val="22"/>
              </w:rPr>
              <w:t xml:space="preserve"> (la spunta è automatica se si eseguono gli interventidi cui al punto 2)</w:t>
            </w:r>
          </w:p>
          <w:p>
            <w:pPr>
              <w:pStyle w:val="Normal"/>
              <w:spacing w:lineRule="atLeast" w:line="22"/>
              <w:ind w:left="88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>
            <w:pPr>
              <w:pStyle w:val="Normal"/>
              <w:spacing w:lineRule="atLeast" w:line="22"/>
              <w:ind w:left="88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______________________________ dei soggetti beneficiari delle detrazioni fiscali per ogni singola unità immobiliare,○ su cui sono eseguiti interventi trainati</w:t>
            </w:r>
          </w:p>
          <w:p>
            <w:pPr>
              <w:pStyle w:val="Normal"/>
              <w:spacing w:lineRule="atLeast" w:line="22"/>
              <w:ind w:left="88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E.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b l’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>
            <w:pPr>
              <w:pStyle w:val="Normal"/>
              <w:spacing w:lineRule="atLeast" w:line="22"/>
              <w:ind w:left="826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>
            <w:pPr>
              <w:pStyle w:val="Normal"/>
              <w:spacing w:lineRule="atLeast" w:line="22"/>
              <w:ind w:left="82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individuato al catasto da:</w:t>
            </w:r>
          </w:p>
          <w:p>
            <w:pPr>
              <w:pStyle w:val="Normal"/>
              <w:spacing w:lineRule="atLeast" w:line="22"/>
              <w:ind w:left="86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Foglio:________;particella: _________; sub:______________;C.F.:________________________dei soggetti beneficiari delle detrazioni fiscali.</w:t>
            </w:r>
          </w:p>
          <w:p>
            <w:pPr>
              <w:pStyle w:val="List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ind w:left="0" w:hanging="0"/>
              <w:rPr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>, zona climatica:_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</w:p>
        </w:tc>
      </w:tr>
    </w:tbl>
    <w:p>
      <w:pPr>
        <w:pStyle w:val="Normal"/>
        <w:spacing w:lineRule="atLeast" w: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>
      <w:pPr>
        <w:pStyle w:val="ListParagraph"/>
        <w:numPr>
          <w:ilvl w:val="0"/>
          <w:numId w:val="1"/>
        </w:numPr>
        <w:spacing w:lineRule="atLeast" w:line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sz w:val="28"/>
          <w:szCs w:val="28"/>
          <w:u w:val="single"/>
        </w:rPr>
        <w:t>Interventi trainati</w:t>
      </w:r>
    </w:p>
    <w:tbl>
      <w:tblPr>
        <w:tblW w:w="10312" w:type="dxa"/>
        <w:jc w:val="left"/>
        <w:tblInd w:w="-8" w:type="dxa"/>
        <w:tblBorders/>
        <w:tblCellMar>
          <w:top w:w="0" w:type="dxa"/>
          <w:left w:w="108" w:type="dxa"/>
          <w:bottom w:w="0" w:type="dxa"/>
          <w:right w:w="0" w:type="dxa"/>
        </w:tblCellMar>
        <w:tblLook w:val="04a0"/>
      </w:tblPr>
      <w:tblGrid>
        <w:gridCol w:w="532"/>
        <w:gridCol w:w="9779"/>
      </w:tblGrid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421" w:hanging="0"/>
              <w:jc w:val="center"/>
              <w:rPr>
                <w:rFonts w:ascii="MS Gothic" w:hAnsi="MS Gothic" w:eastAsia="MS Gothic" w:cs="MS Gothic"/>
              </w:rPr>
            </w:pPr>
            <w:r>
              <w:rPr>
                <w:rFonts w:eastAsia="MS Gothic" w:cs="MS Gothic" w:ascii="MS Gothic" w:hAnsi="MS Gothic"/>
              </w:rPr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>
              <w:rPr>
                <w:rStyle w:val="Ancladenotafinal"/>
                <w:rFonts w:ascii="Times New Roman" w:hAnsi="Times New Roman"/>
                <w:b/>
                <w:bCs/>
                <w:sz w:val="22"/>
                <w:szCs w:val="22"/>
              </w:rPr>
              <w:endnoteReference w:id="17"/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092" w:hanging="32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l’involucro dell’edificio con un’incidenza complessiva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dell’edificio medesimo avente superficie</w:t>
            </w:r>
          </w:p>
          <w:p>
            <w:pPr>
              <w:pStyle w:val="Normal"/>
              <w:spacing w:lineRule="atLeast" w:line="22"/>
              <w:ind w:left="1092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9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le superfici oggetto dell’intervento sono:</w:t>
            </w:r>
          </w:p>
          <w:p>
            <w:pPr>
              <w:pStyle w:val="ListParagraph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44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742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>
            <w:pPr>
              <w:pStyle w:val="Normal"/>
              <w:spacing w:lineRule="atLeast" w:line="22"/>
              <w:ind w:left="1092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Superficie: ________ [m2]; trasm.ante:______ [W/m2K]; trasm.post:_____ [W/m2K]</w:t>
            </w:r>
          </w:p>
          <w:p>
            <w:pPr>
              <w:pStyle w:val="Normal"/>
              <w:spacing w:lineRule="atLeast" w:line="22"/>
              <w:ind w:left="1092" w:hanging="0"/>
              <w:jc w:val="both"/>
              <w:rPr>
                <w:rFonts w:ascii="Times New Roman" w:hAnsi="Times New Roman" w:eastAsia="MS Gothic"/>
                <w:i/>
                <w:i/>
              </w:rPr>
            </w:pPr>
            <w:r>
              <w:rPr>
                <w:rFonts w:eastAsia="MS Gothic" w:ascii="Times New Roman" w:hAnsi="Times New Roman"/>
                <w:i/>
                <w:sz w:val="22"/>
                <w:szCs w:val="22"/>
              </w:rPr>
              <w:t>(ripetere per ogni singolo infisso)</w:t>
            </w:r>
          </w:p>
          <w:p>
            <w:pPr>
              <w:pStyle w:val="Normal"/>
              <w:spacing w:lineRule="atLeast" w:line="22"/>
              <w:ind w:left="1092" w:hanging="0"/>
              <w:jc w:val="both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tLeast" w:line="22"/>
              <w:ind w:left="1078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l’intero edificio risulta pari al prodotto del “limite di spesa prevista dall’ecobonus” (60.000 euro di detrazione massima per unità immobiliare oggetto dell’intervento,diviso l’aliquota del 110% pari a 60.000/1,1 = 54.545 euro) per il numero di unità immobiliari di cui si compone l’edificio corrispondente complessivamente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 w:eastAsia="MS Gothic"/>
                <w:b/>
                <w:b/>
                <w:bCs/>
              </w:rPr>
            </w:pPr>
            <w:r>
              <w:rPr>
                <w:rFonts w:eastAsia="MS Gothic" w:ascii="Times New Roman" w:hAnsi="Times New Roman"/>
                <w:b/>
                <w:bCs/>
              </w:rPr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>
            <w:pPr>
              <w:pStyle w:val="ListParagraph"/>
              <w:spacing w:lineRule="atLeast" w:line="22"/>
              <w:ind w:left="106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Sup. scherm/chiusura oscurante: _______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8"/>
            </w:r>
            <w:r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>
            <w:pPr>
              <w:pStyle w:val="ListParagraph"/>
              <w:spacing w:lineRule="atLeast" w:line="22"/>
              <w:ind w:left="106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gtot:_____; resistenza termica supplementare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19"/>
            </w:r>
            <w:r>
              <w:rPr>
                <w:rFonts w:ascii="Times New Roman" w:hAnsi="Times New Roman"/>
                <w:sz w:val="22"/>
                <w:szCs w:val="22"/>
              </w:rPr>
              <w:t>:_____ [Km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/W]; orientamento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20"/>
            </w:r>
            <w:r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>
            <w:pPr>
              <w:pStyle w:val="ListParagraph"/>
              <w:spacing w:lineRule="atLeast" w:line="22"/>
              <w:ind w:left="106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tLeast" w:line="22"/>
              <w:ind w:left="1064" w:hanging="3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l’intero edificio risulta pari al prodotto del “limite di spesa prevista dall’ecobonus” (60.000 euro di detrazione massima per unità immobiliare oggetto dell’intervento diviso l’aliquota del 110% pari a 60.000/1,1 = 54.545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per il numero di unità immobiliari di cui si compone l’edificio corrispondente complessivamente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686" w:hanging="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>
            <w:pPr>
              <w:pStyle w:val="Normal"/>
              <w:spacing w:lineRule="atLeast" w:line="22"/>
              <w:ind w:left="68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>
            <w:pPr>
              <w:pStyle w:val="Normal"/>
              <w:spacing w:lineRule="atLeast" w:line="22"/>
              <w:ind w:left="1100" w:hanging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c)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sostituito): ____ [kW]; tipo di scald. sostituto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21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:_____;</w:t>
            </w:r>
          </w:p>
          <w:p>
            <w:pPr>
              <w:pStyle w:val="Normal"/>
              <w:spacing w:lineRule="atLeast" w:line="22"/>
              <w:ind w:left="1100" w:hanging="42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a PDC): ____ [kW]; COP del nuovo scaldacqua</w:t>
            </w:r>
            <w:r>
              <w:rPr>
                <w:rStyle w:val="Ancladenotafinal"/>
                <w:rFonts w:eastAsia="MS Gothic" w:ascii="Times New Roman" w:hAnsi="Times New Roman"/>
                <w:sz w:val="22"/>
                <w:szCs w:val="22"/>
              </w:rPr>
              <w:endnoteReference w:id="22"/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456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l’intero edificio risulta pari al prodotto del “limite di spesa prevista dall’ecobonus” (30.000 euro di detrazione massima per unità immobiliare oggetto dell’intervento diviso l’aliquota del 110% pari a 30.000/1,1 = 27.272) per il numero di unità immobiliari di cui si compone l’edificio (o interessate dall’intervento) corrispondente complessivamente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>
            <w:pPr>
              <w:pStyle w:val="ListParagraph"/>
              <w:spacing w:lineRule="atLeast" w:line="22"/>
              <w:ind w:left="108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c) per un ammontare pari a: _______________ euro</w:t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82" w:hanging="3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kWp</w:t>
            </w:r>
          </w:p>
          <w:p>
            <w:pPr>
              <w:pStyle w:val="Normal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all’articolo 3, comma 1, lettere d) , e) e f), del testo unico di cui al decreto del Presidente della Repubblica 6 giugno 2001, n. 380, il predetto limite di spesa è ridotto ad euro 1.600 per ogni kW di potenza nominale;</w:t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>
            <w:pPr>
              <w:pStyle w:val="ListParagraph"/>
              <w:spacing w:lineRule="atLeast" w:line="22"/>
              <w:ind w:left="1082" w:hanging="3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ind w:left="974" w:hanging="266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f) 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>
            <w:pPr>
              <w:pStyle w:val="Normal"/>
              <w:ind w:left="974" w:hanging="2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tLeast" w:line="22"/>
              <w:ind w:left="1126" w:hanging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l’edificio </w:t>
            </w:r>
          </w:p>
          <w:p>
            <w:pPr>
              <w:pStyle w:val="ListParagraph"/>
              <w:spacing w:lineRule="atLeast" w:line="22"/>
              <w:ind w:left="1134" w:hanging="2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>
            <w:pPr>
              <w:pStyle w:val="Normal"/>
              <w:spacing w:lineRule="atLeast" w:line="22"/>
              <w:ind w:left="1050" w:hanging="378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>l’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facente parte dell’edificio condominiale E.a) di cui sopra </w:t>
            </w:r>
          </w:p>
          <w:p>
            <w:pPr>
              <w:pStyle w:val="Normal"/>
              <w:spacing w:lineRule="atLeast" w:line="22"/>
              <w:ind w:left="1050" w:hanging="37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</w:t>
            </w:r>
          </w:p>
          <w:p>
            <w:pPr>
              <w:pStyle w:val="Normal"/>
              <w:spacing w:lineRule="atLeast" w:line="22"/>
              <w:ind w:left="1050" w:hanging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l’elenco degli interventidi cui ai punti successivi, per ogni unità immobiliare interessata)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050" w:hanging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50" w:hanging="37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>
            <w:pPr>
              <w:pStyle w:val="Normal"/>
              <w:spacing w:lineRule="atLeast" w:line="22"/>
              <w:ind w:left="1050" w:hanging="37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50" w:hanging="378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>l’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  <w:p>
            <w:pPr>
              <w:pStyle w:val="Normal"/>
              <w:spacing w:lineRule="atLeast" w:line="22"/>
              <w:ind w:left="1050" w:hanging="378"/>
              <w:jc w:val="both"/>
              <w:rPr>
                <w:rFonts w:ascii="Times New Roman" w:hAnsi="Times New Roman"/>
                <w:b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283" w:hanging="0"/>
              <w:jc w:val="right"/>
              <w:rPr/>
            </w:pPr>
            <w:r>
              <w:rPr>
                <w:rFonts w:eastAsia="MS Gothic" w:cs="MS Gothic" w:ascii="MS Gothic" w:hAnsi="MS Gothic"/>
                <w:sz w:val="22"/>
                <w:szCs w:val="22"/>
              </w:rPr>
              <w:t>☐</w:t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Normal"/>
              <w:spacing w:lineRule="atLeast" w:line="22"/>
              <w:ind w:left="1064" w:hanging="384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1.1.2isolamento termico delle superfici opache verticali, orizzontali e inclinate che interessano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dell’involucro.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23"/>
            </w:r>
          </w:p>
          <w:p>
            <w:pPr>
              <w:pStyle w:val="Normal"/>
              <w:spacing w:lineRule="atLeast" w:line="22"/>
              <w:ind w:left="1064" w:hanging="3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282" w:hanging="2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 le superfici oggetto dell’intervento sono:</w:t>
            </w:r>
          </w:p>
          <w:p>
            <w:pPr>
              <w:pStyle w:val="ListParagraph"/>
              <w:spacing w:lineRule="atLeast" w:line="22"/>
              <w:ind w:left="128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28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28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coperture: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28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28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pavimenti: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</w:t>
            </w:r>
          </w:p>
          <w:p>
            <w:pPr>
              <w:pStyle w:val="ListParagraph"/>
              <w:spacing w:lineRule="atLeast" w:line="22"/>
              <w:ind w:left="1282" w:firstLine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>
            <w:pPr>
              <w:pStyle w:val="ListParagraph"/>
              <w:spacing w:lineRule="atLeast" w:line="22"/>
              <w:ind w:left="1064" w:hanging="3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64" w:right="-138" w:hanging="384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1.2.2sostituzione degli infissi</w:t>
            </w:r>
          </w:p>
          <w:p>
            <w:pPr>
              <w:pStyle w:val="ListParagraph"/>
              <w:spacing w:lineRule="atLeast" w:line="22"/>
              <w:ind w:left="1064" w:right="-138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Superficie: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trasm.ante: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K]; trasm.post: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K]</w:t>
            </w:r>
          </w:p>
          <w:p>
            <w:pPr>
              <w:pStyle w:val="ListParagraph"/>
              <w:spacing w:lineRule="atLeast" w:line="22"/>
              <w:ind w:left="1064" w:right="-138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>
            <w:pPr>
              <w:pStyle w:val="ListParagraph"/>
              <w:spacing w:lineRule="atLeast" w:line="22"/>
              <w:ind w:left="1064" w:right="-138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tLeast" w:line="22"/>
              <w:ind w:left="1030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l’unità immobiliare risulta pari al prodotto del “limite di spesa prevista dall’ecobonus” (60.000 euro di detrazione massima per unità immobiliare oggetto dell’intervento diviso l’aliquota del 110% pari a 60.000/1,1 = 54.545 euro. </w:t>
            </w:r>
          </w:p>
          <w:p>
            <w:pPr>
              <w:pStyle w:val="ListParagraph"/>
              <w:spacing w:lineRule="atLeast" w:line="22"/>
              <w:ind w:left="103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64" w:right="-138" w:hanging="384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1.3.1schermature solari e chiusure oscuranti</w:t>
            </w:r>
          </w:p>
          <w:p>
            <w:pPr>
              <w:pStyle w:val="ListParagraph"/>
              <w:spacing w:lineRule="atLeast" w:line="22"/>
              <w:ind w:left="1030" w:right="-138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30" w:right="-138" w:hanging="384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/W]; orientamento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</w:p>
          <w:p>
            <w:pPr>
              <w:pStyle w:val="Normal"/>
              <w:spacing w:lineRule="atLeast" w:line="22"/>
              <w:ind w:left="1030" w:right="-138" w:hanging="14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>
            <w:pPr>
              <w:pStyle w:val="Normal"/>
              <w:spacing w:lineRule="atLeast" w:line="22"/>
              <w:ind w:left="1064" w:right="-138" w:hanging="3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tLeast" w:line="22"/>
              <w:ind w:left="1058" w:right="-138" w:hanging="3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che la spesa massima ammissibile è pari 60.000/1,1 = 54.545 euro per unità immobiliare,</w:t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283" w:hanging="0"/>
              <w:jc w:val="right"/>
              <w:rPr>
                <w:rFonts w:ascii="MS Gothic" w:hAnsi="MS Gothic" w:eastAsia="MS Gothic" w:cs="MS Gothic"/>
              </w:rPr>
            </w:pPr>
            <w:r>
              <w:rPr>
                <w:rFonts w:eastAsia="MS Gothic" w:cs="MS Gothic" w:ascii="MS Gothic" w:hAnsi="MS Gothic"/>
              </w:rPr>
            </w:r>
          </w:p>
          <w:p>
            <w:pPr>
              <w:pStyle w:val="Normal"/>
              <w:spacing w:lineRule="atLeast" w:line="22"/>
              <w:ind w:right="-283" w:hanging="0"/>
              <w:jc w:val="right"/>
              <w:rPr>
                <w:rFonts w:ascii="MS Gothic" w:hAnsi="MS Gothic" w:eastAsia="MS Gothic" w:cs="MS Gothic"/>
              </w:rPr>
            </w:pPr>
            <w:r>
              <w:rPr>
                <w:rFonts w:eastAsia="MS Gothic" w:cs="MS Gothic" w:ascii="MS Gothic" w:hAnsi="MS Gothic"/>
              </w:rPr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Normal"/>
              <w:spacing w:lineRule="atLeast" w:line="22"/>
              <w:ind w:right="-13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spacing w:lineRule="atLeast" w:line="22"/>
              <w:ind w:left="720" w:right="-138" w:hanging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>
            <w:pPr>
              <w:pStyle w:val="Normal"/>
              <w:spacing w:lineRule="atLeast" w:line="22"/>
              <w:ind w:left="742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>
              <w:rPr>
                <w:rStyle w:val="Ancladenotafinal"/>
                <w:rFonts w:ascii="Times New Roman" w:hAnsi="Times New Roman"/>
                <w:b/>
                <w:bCs/>
                <w:sz w:val="22"/>
                <w:szCs w:val="22"/>
              </w:rPr>
              <w:endnoteReference w:id="24"/>
            </w:r>
          </w:p>
          <w:p>
            <w:pPr>
              <w:pStyle w:val="Normal"/>
              <w:spacing w:lineRule="atLeast" w:line="22"/>
              <w:ind w:left="1044" w:firstLine="1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(%);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</w:rPr>
              <w:endnoteReference w:id="25"/>
            </w:r>
            <w:r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>
            <w:pPr>
              <w:pStyle w:val="Normal"/>
              <w:spacing w:lineRule="atLeast" w:line="22"/>
              <w:ind w:left="1044" w:firstLine="196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>
            <w:pPr>
              <w:pStyle w:val="Normal"/>
              <w:spacing w:lineRule="atLeast" w:line="22"/>
              <w:ind w:left="1044" w:firstLine="2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>
            <w:pPr>
              <w:pStyle w:val="Normal"/>
              <w:spacing w:lineRule="atLeast" w:line="22"/>
              <w:ind w:left="1044" w:firstLine="224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cs="Cambria Math" w:ascii="Cambria Math" w:hAnsi="Cambria Math"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>
            <w:pPr>
              <w:pStyle w:val="Normal"/>
              <w:spacing w:lineRule="atLeast" w:line="22"/>
              <w:ind w:left="1044" w:firstLine="2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______; Potenza utile nom.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○</w:t>
            </w:r>
          </w:p>
          <w:p>
            <w:pPr>
              <w:pStyle w:val="Normal"/>
              <w:spacing w:lineRule="atLeast" w:line="22"/>
              <w:ind w:left="1044" w:firstLine="2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44" w:firstLine="2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044" w:firstLine="1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: ____; Potenza utile nom. ______ [kW]; CUEh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○</w:t>
            </w:r>
          </w:p>
          <w:p>
            <w:pPr>
              <w:pStyle w:val="Normal"/>
              <w:spacing w:lineRule="atLeast" w:line="22"/>
              <w:ind w:left="1044" w:firstLine="1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>
            <w:pPr>
              <w:pStyle w:val="Normal"/>
              <w:spacing w:lineRule="atLeast" w:line="22"/>
              <w:ind w:left="1044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tLeast" w:line="22"/>
              <w:ind w:left="1044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>
            <w:pPr>
              <w:pStyle w:val="Normal"/>
              <w:spacing w:lineRule="atLeast" w:line="22"/>
              <w:ind w:left="1044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>
            <w:pPr>
              <w:pStyle w:val="Normal"/>
              <w:spacing w:lineRule="atLeast" w:line="22"/>
              <w:ind w:left="1044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PDC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○</w:t>
            </w:r>
          </w:p>
          <w:p>
            <w:pPr>
              <w:pStyle w:val="Normal"/>
              <w:spacing w:lineRule="atLeast" w:line="22"/>
              <w:ind w:left="1044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44" w:hanging="3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44" w:hanging="308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>
            <w:pPr>
              <w:pStyle w:val="Normal"/>
              <w:spacing w:lineRule="atLeast" w:line="22"/>
              <w:ind w:left="1044" w:firstLine="14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sostituito): ____ [kW]; tipo di scald. Sostituto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18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_____;</w:t>
            </w:r>
          </w:p>
          <w:p>
            <w:pPr>
              <w:pStyle w:val="Normal"/>
              <w:spacing w:lineRule="atLeast" w:line="22"/>
              <w:ind w:left="1044" w:firstLine="14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Pu (scaldacqua a PDC): ____ [kW]; COP del nuovo scaldacqua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19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884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30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30.000/1,1 = 27.272 euro per unità immobiliare;</w:t>
            </w:r>
          </w:p>
          <w:p>
            <w:pPr>
              <w:pStyle w:val="ListParagraph"/>
              <w:spacing w:lineRule="atLeast" w:line="22"/>
              <w:ind w:left="103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30" w:hanging="32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g)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>
            <w:pPr>
              <w:pStyle w:val="Normal"/>
              <w:spacing w:lineRule="atLeast" w:line="22"/>
              <w:ind w:left="1198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○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; Prisc.supp.: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[kW]</w:t>
            </w:r>
          </w:p>
          <w:p>
            <w:pPr>
              <w:pStyle w:val="Normal"/>
              <w:spacing w:lineRule="atLeast" w:line="22"/>
              <w:ind w:left="1198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30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l’intervento è pari a 100.000/1,1 = 110.000 euro;</w:t>
            </w:r>
          </w:p>
          <w:p>
            <w:pPr>
              <w:pStyle w:val="ListParagraph"/>
              <w:spacing w:lineRule="atLeast" w:line="22"/>
              <w:ind w:left="103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30" w:hanging="32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h)generatori a biomassa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installazione, di impianti di climatizzazione invernale dotati di generatori di calore alimentati da biomasse combustibili</w:t>
            </w:r>
          </w:p>
          <w:p>
            <w:pPr>
              <w:pStyle w:val="Normal"/>
              <w:spacing w:lineRule="atLeast" w:line="22"/>
              <w:ind w:left="1030" w:hanging="56"/>
              <w:jc w:val="both"/>
              <w:rPr>
                <w:rFonts w:ascii="Times New Roman" w:hAnsi="Times New Roman" w:eastAsia="Times New Roman"/>
                <w:bCs/>
                <w:color w:val="000000"/>
                <w:lang w:eastAsia="it-IT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shd w:fill="C0C0C0" w:val="clear"/>
                <w:lang w:eastAsia="it-IT"/>
              </w:rPr>
              <w:t>_____</w:t>
            </w:r>
            <w:r>
              <w:rPr>
                <w:rFonts w:eastAsia="Times New Roman" w:ascii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>
            <w:pPr>
              <w:pStyle w:val="Normal"/>
              <w:spacing w:lineRule="atLeast" w:line="22"/>
              <w:ind w:left="1030" w:hanging="56"/>
              <w:jc w:val="both"/>
              <w:rPr>
                <w:rFonts w:ascii="Times New Roman" w:hAnsi="Times New Roman" w:eastAsia="Times New Roman"/>
                <w:bCs/>
                <w:color w:val="000000"/>
                <w:lang w:eastAsia="it-IT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lang w:eastAsia="it-IT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30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30.000/1,1 = 27.272 euro.</w:t>
            </w:r>
          </w:p>
          <w:p>
            <w:pPr>
              <w:pStyle w:val="ListParagraph"/>
              <w:spacing w:lineRule="atLeast" w:line="22"/>
              <w:ind w:left="103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30" w:hanging="32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 spese previste in progetto ammontano a _________ euro e la spesa massima ammissibile dal “decreto requisiti ecobonus” è pari a:_____ euro;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tLeast" w:line="22"/>
              <w:ind w:left="1422" w:hanging="360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gli impianti sopra indicati sono destinati a: climatizzazione invernale 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climatizzazione estiva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;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prod. di acqua calda sanitaria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eastAsia="MS Gothic" w:cs="Segoe UI Symbol" w:ascii="Segoe UI Symbol" w:hAnsi="Segoe UI Symbol"/>
                <w:b/>
                <w:bCs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;</w:t>
            </w:r>
          </w:p>
          <w:p>
            <w:pPr>
              <w:pStyle w:val="ListParagraph"/>
              <w:spacing w:lineRule="atLeast" w:line="22"/>
              <w:ind w:left="142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30" w:hanging="322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>
            <w:pPr>
              <w:pStyle w:val="ListParagraph"/>
              <w:spacing w:lineRule="atLeast" w:line="22"/>
              <w:ind w:left="1142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]</w:t>
            </w:r>
          </w:p>
          <w:p>
            <w:pPr>
              <w:pStyle w:val="ListParagraph"/>
              <w:spacing w:lineRule="atLeast" w:line="22"/>
              <w:ind w:left="1142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Tipo di collettori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>
            <w:pPr>
              <w:pStyle w:val="ListParagraph"/>
              <w:spacing w:lineRule="atLeast" w:line="22"/>
              <w:ind w:left="1142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orientamento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accumulo in litri: ______; </w:t>
            </w:r>
          </w:p>
          <w:p>
            <w:pPr>
              <w:pStyle w:val="ListParagraph"/>
              <w:spacing w:lineRule="atLeast" w:line="22"/>
              <w:ind w:left="1142" w:hanging="14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>destinazione del calore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 tipo di impianto integrato o sostituito</w:t>
            </w:r>
            <w:r>
              <w:rPr>
                <w:rFonts w:eastAsia="MS Gothic" w:ascii="Times New Roman" w:hAnsi="Times New Roman"/>
                <w:sz w:val="22"/>
                <w:szCs w:val="22"/>
                <w:vertAlign w:val="superscript"/>
              </w:rPr>
              <w:t>8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;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>certificazione solar Keymark;</w:t>
            </w:r>
          </w:p>
          <w:p>
            <w:pPr>
              <w:pStyle w:val="ListParagraph"/>
              <w:spacing w:lineRule="atLeast" w:line="22"/>
              <w:ind w:left="1142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tLeast" w:line="22"/>
              <w:ind w:left="1072" w:hanging="3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30.000/1,1 = 27.272 euro.</w:t>
            </w:r>
          </w:p>
          <w:p>
            <w:pPr>
              <w:pStyle w:val="ListParagraph"/>
              <w:spacing w:lineRule="atLeast" w:line="22"/>
              <w:ind w:left="107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gli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interventi di cui ai punti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1.1.2;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1.2.2;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1.31. e punto 2.2 lettere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a);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b),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c),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d),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e),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f),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g),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h),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i),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j) sono stati </w:t>
            </w: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conclusi</w:t>
            </w:r>
            <w:r>
              <w:rPr>
                <w:rStyle w:val="Ancladenotafinal"/>
                <w:rFonts w:eastAsia="MS Gothic" w:ascii="Times New Roman" w:hAnsi="Times New Roman"/>
                <w:b/>
                <w:bCs/>
                <w:sz w:val="22"/>
                <w:szCs w:val="22"/>
              </w:rPr>
              <w:endnoteReference w:id="26"/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per un ammontare pari a: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_______________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euro</w:t>
            </w:r>
          </w:p>
          <w:p>
            <w:pPr>
              <w:pStyle w:val="ListParagraph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La potenza utile complessiva dell’impianto di climatizzazione invernale unifamiliare esistente prima degli interventi è pari a: </w:t>
            </w:r>
            <w:r>
              <w:rPr>
                <w:rFonts w:eastAsia="MS Gothic"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eastAsia="MS Gothic" w:ascii="Times New Roman" w:hAnsi="Times New Roman"/>
                <w:sz w:val="22"/>
                <w:szCs w:val="22"/>
              </w:rPr>
              <w:t xml:space="preserve"> [kW].</w:t>
            </w:r>
          </w:p>
          <w:p>
            <w:pPr>
              <w:pStyle w:val="ListParagraph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kWp</w:t>
            </w:r>
          </w:p>
          <w:p>
            <w:pPr>
              <w:pStyle w:val="Normal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k)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all’articolo 3, comma 1, lettere d) , e) e f), del testo unico di cui al decreto del Presidente della Repubblica 6 giugno 2001, n. 380, il predetto limite di spesa è ridotto ad euro 1.600 per ogni kW di potenza nominale;</w:t>
            </w:r>
          </w:p>
          <w:p>
            <w:pPr>
              <w:pStyle w:val="ListParagraph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l) </w:t>
            </w: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>
            <w:pPr>
              <w:pStyle w:val="ListParagraph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l)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>
            <w:pPr>
              <w:pStyle w:val="ListParagraph"/>
              <w:spacing w:lineRule="atLeast" w:line="22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ind w:left="716" w:hanging="429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m) </w:t>
            </w:r>
            <w:r>
              <w:rPr>
                <w:rFonts w:eastAsia="MS Gothic" w:cs="Cambria Math" w:ascii="Cambria Math" w:hAnsi="Cambria Math"/>
                <w:b/>
                <w:bCs/>
                <w:sz w:val="22"/>
                <w:szCs w:val="22"/>
              </w:rPr>
              <w:t>▢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>
            <w:pPr>
              <w:pStyle w:val="Normal"/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m) previste in progetto ammontano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l’edificio </w:t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spacing w:lineRule="atLeast" w:line="22"/>
              <w:ind w:left="690" w:hanging="0"/>
              <w:jc w:val="both"/>
              <w:rPr>
                <w:rFonts w:ascii="Times New Roman" w:hAnsi="Times New Roman" w:eastAsia="MS Gothic"/>
              </w:rPr>
            </w:pPr>
            <w:r>
              <w:rPr>
                <w:rFonts w:eastAsia="MS Gothic"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tLeast" w:line="22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>
            <w:pPr>
              <w:pStyle w:val="Normal"/>
              <w:spacing w:lineRule="atLeast" w:line="22"/>
              <w:ind w:left="1058" w:hanging="322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3.1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58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58" w:hanging="322"/>
              <w:jc w:val="both"/>
              <w:rPr>
                <w:rFonts w:ascii="Times New Roman" w:hAnsi="Times New Roman"/>
              </w:rPr>
            </w:pPr>
            <w:r>
              <w:rPr>
                <w:rFonts w:eastAsia="MS Gothic" w:ascii="Times New Roman" w:hAnsi="Times New Roman"/>
                <w:b/>
                <w:bCs/>
                <w:sz w:val="22"/>
                <w:szCs w:val="22"/>
              </w:rPr>
              <w:t xml:space="preserve">3.1.1.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58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58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sull’edificio unifamiliare o sulle unità immobiliari dell’edificio condominiale)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1058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058" w:hanging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sull’edificio unifamiliare o sulle unità immobiliari dell’edificio condominiale)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Normal"/>
              <w:spacing w:lineRule="atLeast" w:line="22"/>
              <w:ind w:left="459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86" w:hanging="364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l’importo dei lavori totale della presente asseverazione corrisponde a:_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>
            <w:pPr>
              <w:pStyle w:val="Normal"/>
              <w:spacing w:lineRule="atLeast" w:line="22"/>
              <w:ind w:left="1044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58" w:hanging="3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garanzia della presente asseverazione è stata stipulata a proprio nome ed esclusivamente per le finalità di cui al comma 14 del dell’art. 119 del D.L. 34/2020, la polizza assicurativa n. _______________ con la compagnia assicuratrice __________, regolarmente autorizzata da ___________________________,per un importo di lavori pari a 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</w:t>
            </w:r>
            <w:r>
              <w:rPr>
                <w:rStyle w:val="Ancladenotafinal"/>
                <w:rFonts w:ascii="Times New Roman" w:hAnsi="Times New Roman"/>
                <w:sz w:val="22"/>
                <w:szCs w:val="22"/>
                <w:shd w:fill="C0C0C0" w:val="clear"/>
              </w:rPr>
              <w:endnoteReference w:id="27"/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>
            <w:pPr>
              <w:pStyle w:val="Normal"/>
              <w:spacing w:lineRule="atLeast" w:line="22"/>
              <w:ind w:left="1044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left="1156" w:hanging="420"/>
              <w:jc w:val="both"/>
              <w:rPr>
                <w:rFonts w:ascii="Times New Roman" w:hAnsi="Times New Roman"/>
              </w:rPr>
            </w:pPr>
            <w:r>
              <w:rPr>
                <w:rFonts w:eastAsia="MS Gothic" w:cs="Segoe UI Symbol" w:ascii="Segoe UI Symbol" w:hAnsi="Segoe UI Symbol"/>
                <w:sz w:val="22"/>
                <w:szCs w:val="22"/>
              </w:rPr>
              <w:t>☐</w:t>
            </w:r>
            <w:r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dell’art. 11° del D.L. 34/2020 per un importo complessivo pari a: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>
            <w:pPr>
              <w:pStyle w:val="Normal"/>
              <w:spacing w:lineRule="atLeast" w:line="22"/>
              <w:ind w:left="1044" w:firstLine="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tLeast" w:line="22"/>
              <w:ind w:left="1100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tLeast" w:line="22"/>
              <w:ind w:left="1100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tLeast" w:line="22"/>
              <w:ind w:left="1100"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>
              <w:rPr>
                <w:rFonts w:ascii="Times New Roman" w:hAnsi="Times New Roman"/>
                <w:sz w:val="22"/>
                <w:szCs w:val="22"/>
                <w:shd w:fill="C0C0C0" w:val="clear"/>
              </w:rPr>
              <w:t>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>
            <w:pPr>
              <w:pStyle w:val="Normal"/>
              <w:spacing w:lineRule="atLeast" w:line="22"/>
              <w:ind w:left="1044" w:firstLine="1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>
            <w:pPr>
              <w:pStyle w:val="ListParagraph"/>
              <w:spacing w:lineRule="atLeast" w:line="22"/>
              <w:ind w:left="1044" w:hanging="3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>
            <w:pPr>
              <w:pStyle w:val="ListParagraph"/>
              <w:spacing w:lineRule="atLeast" w:line="22"/>
              <w:ind w:left="1058" w:hanging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>
            <w:pPr>
              <w:pStyle w:val="ListParagrap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>
            <w:pPr>
              <w:pStyle w:val="ListParagraph"/>
              <w:spacing w:lineRule="atLeast" w:line="2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58" w:hanging="3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>
            <w:pPr>
              <w:pStyle w:val="ListParagraph"/>
              <w:spacing w:lineRule="atLeast" w:lin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tLeast" w:line="22"/>
              <w:ind w:left="1058" w:hanging="3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con gli interventi previsti l’edificio consegue il miglioramento di due classi energetiche passando dalla classe iniziale ______ alla classe finale _______secondo idati di progetto e i calcoli effettuati in conformità alle indicazioni contenute nel “</w:t>
            </w:r>
            <w:r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>
              <w:rPr>
                <w:rStyle w:val="Ancladenotafinal"/>
                <w:rFonts w:ascii="Times New Roman" w:hAnsi="Times New Roman"/>
                <w:bCs/>
                <w:sz w:val="22"/>
                <w:szCs w:val="22"/>
              </w:rPr>
              <w:endnoteReference w:id="28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>
            <w:pPr>
              <w:pStyle w:val="ListParagraph"/>
              <w:spacing w:lineRule="atLeast" w:line="22"/>
              <w:ind w:left="105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all’ordine/collegio professionale:______________________________________________di___________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________________________________________) con il numero: _________.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Si allegano gli attestati di prestazione energetica ante post intervento secondo il modello del decreto 26/06/2015 “</w:t>
            </w:r>
            <w: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n. 1 - codice asseverazione: _____________________ del____</w:t>
            </w:r>
          </w:p>
          <w:p>
            <w:pPr>
              <w:pStyle w:val="Normal"/>
              <w:spacing w:lineRule="atLeast" w:line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sal n. 2 - codice asseverazione: _____________________ del____</w:t>
            </w:r>
          </w:p>
          <w:p>
            <w:pPr>
              <w:pStyle w:val="Normal"/>
              <w:spacing w:lineRule="atLeast" w:line="22"/>
              <w:ind w:right="-13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tLeast" w:line="22"/>
              <w:ind w:right="-13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tLeast" w:line="22"/>
              <w:ind w:right="-283" w:hanging="0"/>
              <w:jc w:val="right"/>
              <w:rPr>
                <w:rFonts w:ascii="MS Gothic" w:hAnsi="MS Gothic" w:eastAsia="MS Gothic" w:cs="MS Gothic"/>
              </w:rPr>
            </w:pPr>
            <w:r>
              <w:rPr>
                <w:rFonts w:eastAsia="MS Gothic" w:cs="MS Gothic" w:ascii="MS Gothic" w:hAnsi="MS Gothic"/>
              </w:rPr>
            </w:r>
          </w:p>
        </w:tc>
        <w:tc>
          <w:tcPr>
            <w:tcW w:w="9779" w:type="dxa"/>
            <w:tcBorders/>
            <w:shd w:color="auto" w:fill="auto" w:val="clear"/>
            <w:tcMar>
              <w:right w:w="108" w:type="dxa"/>
            </w:tcMar>
          </w:tcPr>
          <w:p>
            <w:pPr>
              <w:pStyle w:val="Normal"/>
              <w:spacing w:lineRule="atLeast" w:line="22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DICHIARA, inoltre,</w:t>
            </w:r>
          </w:p>
          <w:p>
            <w:pPr>
              <w:pStyle w:val="Normal"/>
              <w:spacing w:lineRule="atLeast" w:line="22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tLeast" w:line="22"/>
              <w:ind w:right="-138" w:hanging="0"/>
              <w:jc w:val="both"/>
              <w:rPr>
                <w:rFonts w:ascii="Times New Roman" w:hAnsi="Times New Roman"/>
                <w:i/>
                <w:i/>
                <w:i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 voler ricevere ogni comunicazione con valore legale, anche ai fini della contestazione di cui al comma 2 dell’articolo 6, del Decreto “Asseverazioni”, al seguente indirizzo di posta elettronica certificata:___________________________</w:t>
            </w:r>
          </w:p>
        </w:tc>
      </w:tr>
    </w:tbl>
    <w:p>
      <w:pPr>
        <w:pStyle w:val="Normal"/>
        <w:spacing w:lineRule="atLeast" w:line="22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2"/>
        <w:ind w:firstLine="504"/>
        <w:jc w:val="both"/>
        <w:rPr/>
      </w:pPr>
      <w:r>
        <w:rPr>
          <w:rFonts w:ascii="Times New Roman" w:hAnsi="Times New Roman"/>
          <w:bCs/>
        </w:rPr>
        <w:t>____________ lì,___________</w:t>
      </w:r>
      <w:r>
        <w:rPr>
          <w:rStyle w:val="Ancladenotafinal"/>
          <w:rFonts w:ascii="Times New Roman" w:hAnsi="Times New Roman"/>
          <w:bCs/>
        </w:rPr>
        <w:endnoteReference w:id="29"/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ab/>
        <w:tab/>
        <w:tab/>
        <w:tab/>
        <w:tab/>
        <w:tab/>
        <w:tab/>
      </w:r>
    </w:p>
    <w:p>
      <w:pPr>
        <w:pStyle w:val="Normal"/>
        <w:spacing w:lineRule="atLeast" w:line="22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>
      <w:pPr>
        <w:pStyle w:val="Normal"/>
        <w:spacing w:lineRule="atLeast" w:line="2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ab/>
        <w:tab/>
        <w:tab/>
        <w:tab/>
        <w:tab/>
        <w:tab/>
        <w:t xml:space="preserve">Firma e timbro </w:t>
      </w:r>
    </w:p>
    <w:p>
      <w:pPr>
        <w:pStyle w:val="Normal"/>
        <w:spacing w:lineRule="atLeast" w:line="22"/>
        <w:ind w:left="2124" w:firstLine="708"/>
        <w:jc w:val="both"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  <w:bCs/>
          <w:i/>
          <w:iCs/>
        </w:rPr>
        <w:t>(anche su tutte le pagine che compongono la presente relazione)</w:t>
      </w:r>
    </w:p>
    <w:p>
      <w:pPr>
        <w:pStyle w:val="Normal"/>
        <w:suppressAutoHyphens w:val="false"/>
        <w:spacing w:before="0" w:after="160"/>
        <w:rPr/>
      </w:pPr>
      <w:r>
        <w:rPr/>
      </w:r>
      <w:r>
        <w:br w:type="page"/>
      </w:r>
    </w:p>
    <w:p>
      <w:pPr>
        <w:pStyle w:val="Normal"/>
        <w:spacing w:lineRule="atLeast" w:line="22"/>
        <w:jc w:val="center"/>
        <w:rPr/>
      </w:pPr>
      <w:r>
        <w:rPr/>
      </w:r>
    </w:p>
    <w:sectPr>
      <w:footerReference w:type="default" r:id="rId2"/>
      <w:endnotePr>
        <w:numFmt w:val="decimal"/>
      </w:endnotePr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La compilazione del presente documento, deve avvenire on-line, nell’apposito sito accessibile dalla pagina web: </w:t>
      </w:r>
      <w:hyperlink r:id="rId1">
        <w:r>
          <w:rPr>
            <w:rStyle w:val="EnlacedeInternet"/>
            <w:rFonts w:cs="Calibri" w:cstheme="minorHAnsi"/>
          </w:rPr>
          <w:t>https://detrazionifiscali.enea.it/</w:t>
        </w:r>
      </w:hyperlink>
      <w:r>
        <w:rPr>
          <w:rFonts w:cs="Calibri" w:cstheme="minorHAnsi"/>
        </w:rPr>
        <w:t>. Per gli stati di avanzamento successivi al primo occorre indicare i precedenti codici attribuiti dalla procedura ENEA.</w:t>
      </w:r>
    </w:p>
  </w:endnote>
  <w:endnote w:id="3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Nessuno degli interventi trainanti di cui al comma 1 dell’art. 119 del D.L. 34/2020 può essere inserito come intervento trainato.</w:t>
      </w:r>
    </w:p>
  </w:endnote>
  <w:endnote w:id="4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5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aria/aria; aria/acqua; salamoia/aria; salamoia/acqua; acqua/aria; acqua/acqua.</w:t>
      </w:r>
    </w:p>
  </w:endnote>
  <w:endnote w:id="6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Piani vetrati; sottovuoto o tubi evacuati.</w:t>
      </w:r>
    </w:p>
  </w:endnote>
  <w:endnote w:id="7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Tetto piano; tetto a falda; altro.</w:t>
      </w:r>
    </w:p>
  </w:endnote>
  <w:endnote w:id="8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Nord; nord-est; est; sud-est; sud; sud-ovest; ovest; nord-ovest</w:t>
      </w:r>
    </w:p>
  </w:endnote>
  <w:endnote w:id="9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Produzione di acqua calda sanitaria; produzione di acqua calda sanitaria e riscaldamento.</w:t>
      </w:r>
    </w:p>
  </w:endnote>
  <w:endnote w:id="10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Boiler elettrico; scaldacqua a gas/gasolio; altro.</w:t>
      </w:r>
    </w:p>
  </w:endnote>
  <w:endnote w:id="11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Fattori di conversione in energia primaria del teleriscaldamento</w:t>
      </w:r>
    </w:p>
  </w:endnote>
  <w:endnote w:id="12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50% di energia da fonti rinnovabili; 50% di calore di scarto; 75% di calore cogenerato; 50% di una combinazione delle precedenti;</w:t>
      </w:r>
    </w:p>
  </w:endnote>
  <w:endnote w:id="13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Solo se si installano pompe di calore reversibili.</w:t>
      </w:r>
    </w:p>
  </w:endnote>
  <w:endnote w:id="14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Nel rispetto del comma 6 dell’art. 5 del DPR 412/93.</w:t>
      </w:r>
    </w:p>
  </w:endnote>
  <w:endnote w:id="15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6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Nel caso che il Comune non risulta nell’elenco del sistema a causa di accorpamenti o in mancanza dell’attribuzione gradi giorno del nuovo Comune accorpato inserire il Comune di ubicazione dell’edificio precedente all’accorpamento.</w:t>
      </w:r>
    </w:p>
  </w:endnote>
  <w:endnote w:id="17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Per gli edifici condominiali</w:t>
      </w:r>
    </w:p>
  </w:endnote>
  <w:endnote w:id="18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1) persiana; 2) persiana avvolgibile; 2) Tenda o veneziana; 4) Altra schermatura solare; Altra chiusura oscurante.</w:t>
      </w:r>
    </w:p>
  </w:endnote>
  <w:endnote w:id="19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Solo per persiane, persiane avvolgibili e altre chiusure oscuranti.</w:t>
      </w:r>
    </w:p>
  </w:endnote>
  <w:endnote w:id="20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Da Est a Ovest passando per il Sud e per le schermature, tutti gli orientamenti per le chiusure oscuranti.</w:t>
      </w:r>
    </w:p>
  </w:endnote>
  <w:endnote w:id="21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>Boiler elettrico; Gas/gasolio; Altro.</w:t>
      </w:r>
    </w:p>
  </w:endnote>
  <w:endnote w:id="22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Valore minimo: 2,6.</w:t>
      </w:r>
    </w:p>
  </w:endnote>
  <w:endnote w:id="23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>Non è ammesso tra gli interventi trainati negli su edifici unifamiliari o unità immobiliari situate all’interno di edifici plurifamiliari che siano funzionalmente indipendenti e dispongano di uno o più accessi autonomi dall’esterno quando incide per più del 25% della superficie lorda disperdente.</w:t>
      </w:r>
    </w:p>
  </w:endnote>
  <w:endnote w:id="24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Ammesso </w:t>
      </w:r>
      <w:r>
        <w:rPr/>
        <w:t>negli edifici condominiali con impianti autonomi quando si esegue come intervento trainante l’intervento sulle parti opache dell’involucro.</w:t>
      </w:r>
    </w:p>
  </w:endnote>
  <w:endnote w:id="25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Appartenenti alle classi V, VI oppure VIII della comunicazione della Commissione 2014/C 207/02.</w:t>
      </w:r>
    </w:p>
  </w:endnote>
  <w:endnote w:id="26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Gli interventi di cui ai punti </w:t>
      </w:r>
      <w:r>
        <w:rPr>
          <w:rFonts w:eastAsia="MS Gothic" w:cs="Calibri" w:cstheme="minorHAnsi"/>
        </w:rPr>
        <w:t xml:space="preserve">1.1, 1,2e 2.1, lettere a), b), c), d), e) ,f), g), h), i) e j) </w:t>
      </w:r>
      <w:r>
        <w:rPr>
          <w:rFonts w:cs="Calibri" w:cstheme="minorHAnsi"/>
        </w:rPr>
        <w:t>possono essere conteggiati nel SAL solo se conclusi.</w:t>
      </w:r>
    </w:p>
  </w:endnote>
  <w:endnote w:id="27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bookmarkStart w:id="2" w:name="_Hlk44239940"/>
      <w:bookmarkEnd w:id="2"/>
      <w:r>
        <w:rPr>
          <w:rFonts w:cs="Calibri" w:cstheme="minorHAnsi"/>
        </w:rPr>
        <w:t>Mettere l’importo complessivo assicurato dalla polizza.</w:t>
      </w:r>
    </w:p>
  </w:endnote>
  <w:endnote w:id="28">
    <w:p>
      <w:pPr>
        <w:pStyle w:val="Endnotetext"/>
        <w:jc w:val="both"/>
        <w:rPr/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9">
    <w:p>
      <w:pPr>
        <w:pStyle w:val="Endnotetext"/>
        <w:jc w:val="both"/>
        <w:rPr>
          <w:rFonts w:ascii="Calibri" w:hAnsi="Calibri" w:cs="Calibri" w:asciiTheme="minorHAnsi" w:cstheme="minorHAnsi" w:hAnsiTheme="minorHAnsi"/>
        </w:rPr>
      </w:pPr>
      <w:r>
        <w:rPr>
          <w:rStyle w:val="Endnotereference"/>
          <w:rFonts w:cs="Calibri" w:cstheme="minorHAnsi"/>
        </w:rPr>
        <w:endnoteRef/>
        <w:tab/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Il luogo viene inserito dal tecnico abilitato la data dal sito ENEA.</w:t>
      </w:r>
    </w:p>
    <w:p>
      <w:pPr>
        <w:pStyle w:val="Endnotetex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Endnotetext"/>
        <w:jc w:val="both"/>
        <w:rPr/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 Math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69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  <w:rPr>
        <w:sz w:val="22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sz w:val="22"/>
        <w:b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  <w:b/>
      </w:rPr>
    </w:lvl>
  </w:abstractNum>
  <w:abstractNum w:abstractNumId="5"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1574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endnotePr>
    <w:numFmt w:val="decimal"/>
    <w:endnote w:id="0"/>
    <w:endnote w:id="1"/>
  </w:endnotePr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3a21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9c3a21"/>
    <w:rPr>
      <w:rFonts w:ascii="Segoe UI" w:hAnsi="Segoe UI" w:cs="Segoe UI"/>
      <w:sz w:val="18"/>
      <w:szCs w:val="18"/>
    </w:rPr>
  </w:style>
  <w:style w:type="character" w:styleId="TestonotaapidipaginaCarattere" w:customStyle="1">
    <w:name w:val="Testo nota a piè di pagina Carattere"/>
    <w:basedOn w:val="DefaultParagraphFont"/>
    <w:qFormat/>
    <w:rsid w:val="009c3a21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9c3a21"/>
    <w:rPr>
      <w:vertAlign w:val="superscript"/>
    </w:rPr>
  </w:style>
  <w:style w:type="character" w:styleId="TestonotadichiusuraCarattere" w:customStyle="1">
    <w:name w:val="Testo nota di chiusura Carattere"/>
    <w:basedOn w:val="DefaultParagraphFont"/>
    <w:qFormat/>
    <w:rsid w:val="009c3a21"/>
    <w:rPr>
      <w:sz w:val="20"/>
      <w:szCs w:val="20"/>
    </w:rPr>
  </w:style>
  <w:style w:type="character" w:styleId="Endnotereference">
    <w:name w:val="endnote reference"/>
    <w:basedOn w:val="DefaultParagraphFont"/>
    <w:qFormat/>
    <w:rsid w:val="009c3a21"/>
    <w:rPr>
      <w:vertAlign w:val="superscript"/>
    </w:rPr>
  </w:style>
  <w:style w:type="character" w:styleId="EnlacedeInternet">
    <w:name w:val="Enlace de Internet"/>
    <w:basedOn w:val="DefaultParagraphFont"/>
    <w:rsid w:val="009c3a21"/>
    <w:rPr>
      <w:color w:val="0563C1"/>
      <w:u w:val="single"/>
    </w:rPr>
  </w:style>
  <w:style w:type="character" w:styleId="UnresolvedMention" w:customStyle="1">
    <w:name w:val="Unresolved Mention"/>
    <w:basedOn w:val="DefaultParagraphFont"/>
    <w:qFormat/>
    <w:rsid w:val="009c3a21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qFormat/>
    <w:rsid w:val="009c3a21"/>
    <w:rPr>
      <w:sz w:val="24"/>
      <w:szCs w:val="24"/>
    </w:rPr>
  </w:style>
  <w:style w:type="character" w:styleId="PidipaginaCarattere" w:customStyle="1">
    <w:name w:val="Piè di pagina Carattere"/>
    <w:basedOn w:val="DefaultParagraphFont"/>
    <w:qFormat/>
    <w:rsid w:val="009c3a21"/>
    <w:rPr>
      <w:sz w:val="24"/>
      <w:szCs w:val="24"/>
    </w:rPr>
  </w:style>
  <w:style w:type="character" w:styleId="Annotationreference">
    <w:name w:val="annotation reference"/>
    <w:basedOn w:val="DefaultParagraphFont"/>
    <w:qFormat/>
    <w:rsid w:val="009c3a21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9c3a21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qFormat/>
    <w:rsid w:val="009c3a21"/>
    <w:rPr>
      <w:b/>
      <w:bCs/>
      <w:sz w:val="20"/>
      <w:szCs w:val="20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eastAsia="Calibri" w:cs="Times New Roman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/>
      <w:sz w:val="22"/>
    </w:rPr>
  </w:style>
  <w:style w:type="character" w:styleId="ListLabel13">
    <w:name w:val="ListLabel 13"/>
    <w:qFormat/>
    <w:rPr>
      <w:b/>
      <w:sz w:val="22"/>
    </w:rPr>
  </w:style>
  <w:style w:type="character" w:styleId="ListLabel14">
    <w:name w:val="ListLabel 14"/>
    <w:qFormat/>
    <w:rPr>
      <w:b/>
      <w:sz w:val="22"/>
    </w:rPr>
  </w:style>
  <w:style w:type="character" w:styleId="ListLabel15">
    <w:name w:val="ListLabel 15"/>
    <w:qFormat/>
    <w:rPr>
      <w:b/>
      <w:sz w:val="22"/>
    </w:rPr>
  </w:style>
  <w:style w:type="character" w:styleId="ListLabel16">
    <w:name w:val="ListLabel 16"/>
    <w:qFormat/>
    <w:rPr>
      <w:b/>
      <w:sz w:val="22"/>
    </w:rPr>
  </w:style>
  <w:style w:type="character" w:styleId="ListLabel17">
    <w:name w:val="ListLabel 17"/>
    <w:qFormat/>
    <w:rPr>
      <w:b/>
      <w:sz w:val="22"/>
    </w:rPr>
  </w:style>
  <w:style w:type="character" w:styleId="ListLabel18">
    <w:name w:val="ListLabel 18"/>
    <w:qFormat/>
    <w:rPr>
      <w:b/>
      <w:sz w:val="22"/>
    </w:rPr>
  </w:style>
  <w:style w:type="character" w:styleId="ListLabel19">
    <w:name w:val="ListLabel 19"/>
    <w:qFormat/>
    <w:rPr>
      <w:rFonts w:ascii="Times New Roman" w:hAnsi="Times New Roman"/>
      <w:b/>
      <w:sz w:val="22"/>
    </w:rPr>
  </w:style>
  <w:style w:type="character" w:styleId="ListLabel20">
    <w:name w:val="ListLabel 20"/>
    <w:qFormat/>
    <w:rPr>
      <w:b/>
      <w:sz w:val="22"/>
    </w:rPr>
  </w:style>
  <w:style w:type="character" w:styleId="ListLabel21">
    <w:name w:val="ListLabel 21"/>
    <w:qFormat/>
    <w:rPr>
      <w:b/>
      <w:sz w:val="22"/>
    </w:rPr>
  </w:style>
  <w:style w:type="character" w:styleId="ListLabel22">
    <w:name w:val="ListLabel 22"/>
    <w:qFormat/>
    <w:rPr>
      <w:b/>
      <w:sz w:val="22"/>
    </w:rPr>
  </w:style>
  <w:style w:type="character" w:styleId="ListLabel23">
    <w:name w:val="ListLabel 23"/>
    <w:qFormat/>
    <w:rPr>
      <w:b/>
      <w:sz w:val="22"/>
    </w:rPr>
  </w:style>
  <w:style w:type="character" w:styleId="ListLabel24">
    <w:name w:val="ListLabel 24"/>
    <w:qFormat/>
    <w:rPr>
      <w:b/>
      <w:sz w:val="22"/>
    </w:rPr>
  </w:style>
  <w:style w:type="character" w:styleId="ListLabel25">
    <w:name w:val="ListLabel 25"/>
    <w:qFormat/>
    <w:rPr>
      <w:b/>
      <w:sz w:val="22"/>
    </w:rPr>
  </w:style>
  <w:style w:type="character" w:styleId="ListLabel26">
    <w:name w:val="ListLabel 26"/>
    <w:qFormat/>
    <w:rPr>
      <w:b/>
      <w:sz w:val="22"/>
    </w:rPr>
  </w:style>
  <w:style w:type="character" w:styleId="ListLabel27">
    <w:name w:val="ListLabel 27"/>
    <w:qFormat/>
    <w:rPr>
      <w:rFonts w:eastAsia="Times New Roman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ascii="Times New Roman" w:hAnsi="Times New Roman" w:eastAsia="Calibri" w:cs="Times New Roman"/>
      <w:sz w:val="22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Calibri"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eastAsia="Calibri" w:cs="Times New Roman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ascii="Times New Roman" w:hAnsi="Times New Roman" w:eastAsia="Calibri" w:cs="Times New Roman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ascii="Times New Roman" w:hAnsi="Times New Roman" w:eastAsia="Calibri" w:cs="Times New Roman"/>
      <w:sz w:val="22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ascii="Times New Roman" w:hAnsi="Times New Roman" w:eastAsia="Calibri" w:cs="Times New Roman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ascii="Times New Roman" w:hAnsi="Times New Roman" w:eastAsia="Calibri" w:cs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Caracteresdenotafinal">
    <w:name w:val="Caracteres de nota final"/>
    <w:qFormat/>
    <w:rPr/>
  </w:style>
  <w:style w:type="character" w:styleId="Ancladenotafinal">
    <w:name w:val="Ancla de nota final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Caracteresdenotaalpie">
    <w:name w:val="Caracteres de nota al pie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c3a21"/>
    <w:pPr>
      <w:ind w:left="720" w:hanging="0"/>
    </w:pPr>
    <w:rPr/>
  </w:style>
  <w:style w:type="paragraph" w:styleId="BalloonText">
    <w:name w:val="Balloon Text"/>
    <w:basedOn w:val="Normal"/>
    <w:qFormat/>
    <w:rsid w:val="009c3a21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qFormat/>
    <w:rsid w:val="009c3a21"/>
    <w:pPr/>
    <w:rPr>
      <w:sz w:val="20"/>
      <w:szCs w:val="20"/>
    </w:rPr>
  </w:style>
  <w:style w:type="paragraph" w:styleId="Endnotetext">
    <w:name w:val="endnote text"/>
    <w:basedOn w:val="Normal"/>
    <w:qFormat/>
    <w:rsid w:val="009c3a21"/>
    <w:pPr/>
    <w:rPr>
      <w:sz w:val="20"/>
      <w:szCs w:val="20"/>
    </w:rPr>
  </w:style>
  <w:style w:type="paragraph" w:styleId="Encabezamiento">
    <w:name w:val="Header"/>
    <w:basedOn w:val="Normal"/>
    <w:rsid w:val="009c3a21"/>
    <w:pPr>
      <w:tabs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rsid w:val="009c3a21"/>
    <w:pPr>
      <w:tabs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qFormat/>
    <w:rsid w:val="009c3a21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9c3a21"/>
    <w:pPr/>
    <w:rPr>
      <w:b/>
      <w:bCs/>
    </w:rPr>
  </w:style>
  <w:style w:type="paragraph" w:styleId="Elencolettere" w:customStyle="1">
    <w:name w:val="elenco lettere"/>
    <w:qFormat/>
    <w:rsid w:val="00aa1bca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bidi w:val="0"/>
      <w:spacing w:before="0" w:after="0"/>
      <w:jc w:val="both"/>
      <w:textAlignment w:val="auto"/>
    </w:pPr>
    <w:rPr>
      <w:rFonts w:ascii="Times New Roman" w:hAnsi="Times New Roman" w:eastAsia="Arial Unicode MS" w:cs="Arial Unicode MS"/>
      <w:color w:val="000000"/>
      <w:sz w:val="24"/>
      <w:szCs w:val="24"/>
      <w:lang w:eastAsia="it-IT" w:val="it-IT" w:bidi="ar-SA"/>
    </w:rPr>
  </w:style>
  <w:style w:type="paragraph" w:styleId="Elencolettere1" w:customStyle="1">
    <w:name w:val="Elenco lettere"/>
    <w:basedOn w:val="Normal"/>
    <w:qFormat/>
    <w:rsid w:val="00eb2d2d"/>
    <w:pPr>
      <w:suppressAutoHyphens w:val="false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  <w:style w:type="paragraph" w:styleId="Notafinal">
    <w:name w:val="End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endnotes.xml.rels><?xml version="1.0" encoding="UTF-8"?>
<Relationships xmlns="http://schemas.openxmlformats.org/package/2006/relationships"><Relationship Id="rId1" Type="http://schemas.openxmlformats.org/officeDocument/2006/relationships/hyperlink" Target="https://detrazionifiscali.enea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C44C-7495-4071-A11B-323C58FF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LibreOffice/5.1.4.2$Windows_x86 LibreOffice_project/f99d75f39f1c57ebdd7ffc5f42867c12031db97a</Application>
  <Pages>10</Pages>
  <Words>3579</Words>
  <CharactersWithSpaces>20403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2020-07-31T11:16:00Z</dcterms:created>
  <dc:creator>domenico.prisinzano@enea.it</dc:creator>
  <dc:description/>
  <dc:language>es-ES</dc:language>
  <cp:lastModifiedBy>UFFICIO Lorenzini</cp:lastModifiedBy>
  <dcterms:modified xsi:type="dcterms:W3CDTF">2020-07-31T11:16:00Z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